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1DB4" w14:textId="37F05AAE" w:rsidR="00D15BD5" w:rsidRDefault="00922DCF">
      <w:r w:rsidRPr="00922DCF">
        <w:t>Clinical performance evaluation is subjective and involves the judgments of the evaluator. It is filtered by the evaluator’s perspective, values, and biases. With this in mind, select three clinical evaluation strategies that you believe are fair and accurate in order to measure student learning, and determine their competency and safety in the clinical setting. Explain your rationale for why you selected each of the strategies, and how they align with your personal philosophy of teaching.  Make sure the strategies that you selected include ways to evaluate students cognitive, psychomotor, and affective domains of learning.  </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yMDIxsDAwsDSzMDdQ0lEKTi0uzszPAykwrAUAoN31eCwAAAA="/>
  </w:docVars>
  <w:rsids>
    <w:rsidRoot w:val="00922DCF"/>
    <w:rsid w:val="00922DC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598F"/>
  <w15:chartTrackingRefBased/>
  <w15:docId w15:val="{79F7DC98-6910-42FA-AEA4-A0DFA3AE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543</Characters>
  <Application>Microsoft Office Word</Application>
  <DocSecurity>0</DocSecurity>
  <Lines>10</Lines>
  <Paragraphs>4</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2021-12-17T08:13:00Z</dcterms:created>
  <dcterms:modified xsi:type="dcterms:W3CDTF">2021-12-17T08:13:00Z</dcterms:modified>
</cp:coreProperties>
</file>