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09" w:rsidRDefault="00342109" w:rsidP="00342109">
      <w:r>
        <w:t xml:space="preserve">What sort of content should or should not be available to citizens across analogue and </w:t>
      </w:r>
      <w:bookmarkStart w:id="0" w:name="_GoBack"/>
      <w:r>
        <w:t>digital media</w:t>
      </w:r>
      <w:bookmarkEnd w:id="0"/>
      <w:r>
        <w:t>?</w:t>
      </w:r>
    </w:p>
    <w:p w:rsidR="00342109" w:rsidRDefault="00342109" w:rsidP="00342109">
      <w:r>
        <w:t>Essential readings:</w:t>
      </w:r>
    </w:p>
    <w:p w:rsidR="00342109" w:rsidRDefault="00342109" w:rsidP="00342109">
      <w:r>
        <w:t>Tarleton Gillespie (2018) Regulation by and of platforms, SAGE Handbook of Social Media, London: SAGE</w:t>
      </w:r>
    </w:p>
    <w:p w:rsidR="00342109" w:rsidRDefault="00342109" w:rsidP="00342109">
      <w:r>
        <w:t>Publications.</w:t>
      </w:r>
    </w:p>
    <w:p w:rsidR="00342109" w:rsidRDefault="00342109" w:rsidP="00342109">
      <w:r>
        <w:t>Tarleton Gillespie (2018) 'The myth of the neutral platform', Custodians of the Internet: Platforms, Content</w:t>
      </w:r>
    </w:p>
    <w:p w:rsidR="00342109" w:rsidRDefault="00342109" w:rsidP="00342109">
      <w:r>
        <w:t>Moderation, and the Hidden Decisions That Shape Social Media, New Haven: Yale University Press.</w:t>
      </w:r>
    </w:p>
    <w:p w:rsidR="00342109" w:rsidRDefault="00342109" w:rsidP="00342109">
      <w:r>
        <w:t>Australian Competition and Consumer Commission (2019) 'Digital platforms and media – regulatory frameworks',</w:t>
      </w:r>
    </w:p>
    <w:p w:rsidR="00FE37B2" w:rsidRDefault="00342109" w:rsidP="00342109">
      <w:r>
        <w:t>Chapter 4, Digital Platforms Inquiry, Final Report, Canberra: ACCC, pp. 166-205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09"/>
    <w:rsid w:val="00342109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14C49-DD28-44C0-9E54-8ED0AEB4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2021-04-21T08:03:00Z</dcterms:created>
  <dcterms:modified xsi:type="dcterms:W3CDTF">2021-04-21T08:03:00Z</dcterms:modified>
</cp:coreProperties>
</file>